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before="0" w:line="276" w:lineRule="auto"/>
        <w:ind w:left="0" w:right="116" w:firstLine="0"/>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Załącznik nr 3 do SWZ</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spacing w:line="276" w:lineRule="auto"/>
        <w:ind w:left="107" w:firstLine="0"/>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SZCZEGÓŁOWY OPIS PRZEDMIOTU ZAMÓWIENIA (SOPZ)</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Cel zamówienia</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Dostawa, uruchomienie i użyczenie trzech instalacji fotowoltaicznych (PV) o łącznej mocy  106,03 kWp w formie comiesięcznego abonamentu.</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pStyle w:val="Heading1"/>
        <w:spacing w:before="0" w:line="276" w:lineRule="auto"/>
        <w:ind w:left="107"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Przedmiot zamówienia</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Przedmiotem zamówienia jest dostawa wraz z pracami budowlano instalacyjnymi</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instalacji fotowoltaicznych o łącznej mocy: 106,03 kWp, w tym Urząd Gminy Szczaniec 36,86 kWp, Hydrofornia Szczaniec 39,59 kWp, Hydrofornia Smardzewo 29,58 kWp oraz ich użyczenie i rozliczanie w formie comiesięcznego abonamentu w stałej niezmiennej cenie na okres minimum 12 lat.</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2"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Wszystkie elementy instalacji fotowoltaicznej muszą być fabrycznie nowe, rok produkcji nie starsze niż 2020 r.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19"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Zakres prac obejmuje dostawę i montaż wraz z uruchomieniem instalacji fotowoltaicznej na dachu budynku Urzędu Gminy, terenie hydroforni Szczaniec oraz terenie hydroforni Smardzewo wraz z opracowaniem zgłoszenia do Zakładu Energetycznego i Państwowej Straży Pożarnej oraz kompleksowej dokumentacji powykonawczej instalacji i przekazanie jej Użytkownikowi. Forma rozliczenia zakupu instalacji ma polegać na stałej niezmiennej opłacie abonamentowej. W okresie finansowania właścicielem tych instalacji pozostanie Użyczający, a po spłacie przejdzie ona na własność Zamawiającego.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Instalacja ta będzie się składać z następujących głównych elementów:</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Część 1: </w:t>
      </w:r>
    </w:p>
    <w:p w:rsidR="00000000" w:rsidDel="00000000" w:rsidP="00000000" w:rsidRDefault="00000000" w:rsidRPr="00000000" w14:paraId="0000000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516" w:right="0" w:hanging="36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Budynek Urzędu Gminy Szczaniec </w:t>
      </w:r>
    </w:p>
    <w:p w:rsidR="00000000" w:rsidDel="00000000" w:rsidP="00000000" w:rsidRDefault="00000000" w:rsidRPr="00000000" w14:paraId="0000001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2" w:right="0" w:hanging="358"/>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67 paneli fotowoltaicznych monokrystalicznych o mocy min. 455 Wp każdy,</w:t>
      </w:r>
    </w:p>
    <w:p w:rsidR="00000000" w:rsidDel="00000000" w:rsidP="00000000" w:rsidRDefault="00000000" w:rsidRPr="00000000" w14:paraId="0000001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2" w:right="0" w:hanging="358"/>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Komplet konstrukcji do dachu skośnego, </w:t>
      </w:r>
    </w:p>
    <w:p w:rsidR="00000000" w:rsidDel="00000000" w:rsidP="00000000" w:rsidRDefault="00000000" w:rsidRPr="00000000" w14:paraId="0000001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2" w:right="0" w:hanging="358"/>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 inwerter z możliwością indywidualnego sterowania modułami, </w:t>
      </w:r>
    </w:p>
    <w:p w:rsidR="00000000" w:rsidDel="00000000" w:rsidP="00000000" w:rsidRDefault="00000000" w:rsidRPr="00000000" w14:paraId="0000001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2" w:right="0" w:hanging="358"/>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34 szt. optymalizatorów podwójnych,</w:t>
      </w:r>
    </w:p>
    <w:p w:rsidR="00000000" w:rsidDel="00000000" w:rsidP="00000000" w:rsidRDefault="00000000" w:rsidRPr="00000000" w14:paraId="0000001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2" w:right="0" w:hanging="358"/>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podłączenie instalacji do sieci energetycznej,</w:t>
      </w:r>
    </w:p>
    <w:p w:rsidR="00000000" w:rsidDel="00000000" w:rsidP="00000000" w:rsidRDefault="00000000" w:rsidRPr="00000000" w14:paraId="0000001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2" w:right="0" w:hanging="358"/>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Komplet zabezpieczeń AC i DC, </w:t>
      </w:r>
    </w:p>
    <w:p w:rsidR="00000000" w:rsidDel="00000000" w:rsidP="00000000" w:rsidRDefault="00000000" w:rsidRPr="00000000" w14:paraId="0000001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2" w:right="0" w:hanging="358"/>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Wyłącznik PPOŻ,</w:t>
      </w:r>
    </w:p>
    <w:p w:rsidR="00000000" w:rsidDel="00000000" w:rsidP="00000000" w:rsidRDefault="00000000" w:rsidRPr="00000000" w14:paraId="0000001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2" w:right="122" w:hanging="358"/>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lokalizacja instalacji ul. Herbowa 30 , 66-225 Szczaniec.</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515"/>
        </w:tabs>
        <w:spacing w:after="0" w:before="0" w:line="276" w:lineRule="auto"/>
        <w:ind w:left="872" w:right="122"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Część 2: </w:t>
      </w:r>
    </w:p>
    <w:p w:rsidR="00000000" w:rsidDel="00000000" w:rsidP="00000000" w:rsidRDefault="00000000" w:rsidRPr="00000000" w14:paraId="0000001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pos="515"/>
        </w:tabs>
        <w:spacing w:after="0" w:before="0" w:line="276" w:lineRule="auto"/>
        <w:ind w:left="516" w:right="0" w:hanging="36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Hydrofornia Szczaniec</w:t>
      </w:r>
    </w:p>
    <w:p w:rsidR="00000000" w:rsidDel="00000000" w:rsidP="00000000" w:rsidRDefault="00000000" w:rsidRPr="00000000" w14:paraId="0000001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87 paneli fotowoltaicznych monokrystalicznych o mocy min. 455 Wp każdy,</w:t>
      </w:r>
    </w:p>
    <w:p w:rsidR="00000000" w:rsidDel="00000000" w:rsidP="00000000" w:rsidRDefault="00000000" w:rsidRPr="00000000" w14:paraId="0000001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Komplet konstrukcji gruntowej pionowej 2 rzędowej,</w:t>
      </w:r>
    </w:p>
    <w:p w:rsidR="00000000" w:rsidDel="00000000" w:rsidP="00000000" w:rsidRDefault="00000000" w:rsidRPr="00000000" w14:paraId="0000001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 inwerter łańcuchowy podłączenie instalacji do sieci energetycznej,</w:t>
      </w:r>
    </w:p>
    <w:p w:rsidR="00000000" w:rsidDel="00000000" w:rsidP="00000000" w:rsidRDefault="00000000" w:rsidRPr="00000000" w14:paraId="0000001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Komplet zabezpieczeń AC i DC, </w:t>
      </w:r>
    </w:p>
    <w:p w:rsidR="00000000" w:rsidDel="00000000" w:rsidP="00000000" w:rsidRDefault="00000000" w:rsidRPr="00000000" w14:paraId="0000001F">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Wyłącznik PPOŻ,</w:t>
      </w:r>
    </w:p>
    <w:p w:rsidR="00000000" w:rsidDel="00000000" w:rsidP="00000000" w:rsidRDefault="00000000" w:rsidRPr="00000000" w14:paraId="0000002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lokalizacja instalacji ul. Świerkowa , 66-225 Szczaniec.</w:t>
      </w:r>
    </w:p>
    <w:p w:rsidR="00000000" w:rsidDel="00000000" w:rsidP="00000000" w:rsidRDefault="00000000" w:rsidRPr="00000000" w14:paraId="00000021">
      <w:pPr>
        <w:tabs>
          <w:tab w:val="left" w:pos="515"/>
        </w:tabs>
        <w:spacing w:line="276" w:lineRule="auto"/>
        <w:ind w:left="515"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Część 3: </w:t>
      </w:r>
    </w:p>
    <w:p w:rsidR="00000000" w:rsidDel="00000000" w:rsidP="00000000" w:rsidRDefault="00000000" w:rsidRPr="00000000" w14:paraId="00000023">
      <w:pPr>
        <w:tabs>
          <w:tab w:val="left" w:pos="515"/>
        </w:tabs>
        <w:spacing w:line="276" w:lineRule="auto"/>
        <w:ind w:left="156" w:firstLine="0"/>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3.</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sz w:val="20"/>
          <w:szCs w:val="20"/>
          <w:rtl w:val="0"/>
        </w:rPr>
        <w:t xml:space="preserve">Hydrofornia Smardzewo</w:t>
      </w: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65 paneli fotowoltaicznych monokrystalicznych o mocy min. 455 Wp każdy,</w:t>
      </w:r>
    </w:p>
    <w:p w:rsidR="00000000" w:rsidDel="00000000" w:rsidP="00000000" w:rsidRDefault="00000000" w:rsidRPr="00000000" w14:paraId="0000002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Komplet konstrukcji gruntowej pionowej 2 rzędowej,</w:t>
      </w:r>
    </w:p>
    <w:p w:rsidR="00000000" w:rsidDel="00000000" w:rsidP="00000000" w:rsidRDefault="00000000" w:rsidRPr="00000000" w14:paraId="0000002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 inwerter łańcuchowy, </w:t>
      </w:r>
    </w:p>
    <w:p w:rsidR="00000000" w:rsidDel="00000000" w:rsidP="00000000" w:rsidRDefault="00000000" w:rsidRPr="00000000" w14:paraId="0000002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podłączenie instalacji do sieci energetycznej,</w:t>
      </w:r>
    </w:p>
    <w:p w:rsidR="00000000" w:rsidDel="00000000" w:rsidP="00000000" w:rsidRDefault="00000000" w:rsidRPr="00000000" w14:paraId="0000002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Komplet zabezpieczeń AC i DC, </w:t>
      </w:r>
    </w:p>
    <w:p w:rsidR="00000000" w:rsidDel="00000000" w:rsidP="00000000" w:rsidRDefault="00000000" w:rsidRPr="00000000" w14:paraId="0000002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Wyłącznik PPOŻ,</w:t>
      </w:r>
    </w:p>
    <w:p w:rsidR="00000000" w:rsidDel="00000000" w:rsidP="00000000" w:rsidRDefault="00000000" w:rsidRPr="00000000" w14:paraId="0000002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pos="515"/>
        </w:tabs>
        <w:spacing w:after="0" w:before="0" w:line="276" w:lineRule="auto"/>
        <w:ind w:left="875"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lokalizacja instalacji Smardzewo , 66-225 Smardzewo.</w:t>
      </w:r>
    </w:p>
    <w:p w:rsidR="00000000" w:rsidDel="00000000" w:rsidP="00000000" w:rsidRDefault="00000000" w:rsidRPr="00000000" w14:paraId="0000002B">
      <w:pPr>
        <w:tabs>
          <w:tab w:val="left" w:pos="515"/>
        </w:tabs>
        <w:spacing w:line="276" w:lineRule="auto"/>
        <w:ind w:left="156"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C">
      <w:pPr>
        <w:pStyle w:val="Heading1"/>
        <w:spacing w:before="0" w:line="276" w:lineRule="auto"/>
        <w:ind w:firstLine="156"/>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OPIS WSPÓLNY DLA KAŻDEJ Z CZĘŚCI ZAMÓWIENIA:</w:t>
      </w:r>
    </w:p>
    <w:p w:rsidR="00000000" w:rsidDel="00000000" w:rsidP="00000000" w:rsidRDefault="00000000" w:rsidRPr="00000000" w14:paraId="0000002D">
      <w:pPr>
        <w:pStyle w:val="Heading1"/>
        <w:spacing w:before="0" w:line="276" w:lineRule="auto"/>
        <w:ind w:firstLine="156"/>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E">
      <w:pPr>
        <w:pStyle w:val="Heading1"/>
        <w:spacing w:before="0" w:line="276" w:lineRule="auto"/>
        <w:ind w:firstLine="156"/>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Dobór urządzeń</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spacing w:line="276" w:lineRule="auto"/>
        <w:ind w:left="156" w:firstLine="0"/>
        <w:jc w:val="both"/>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Generatory fotowoltaiczne</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Instalacja będzie się składać z modułów fotowoltaicznych monokrystalicznych z listy TIER 1 o mocy             szczytowej 455 Wp. Moc instalacji PV od strony DC wynosi 30,49 kWp.</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97"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Parametry projektowanych generatorów fotowoltaicznych nie gorsze niż przedstawia poniższa        tabela.</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064.0" w:type="dxa"/>
        <w:jc w:val="left"/>
        <w:tblInd w:w="16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07"/>
        <w:gridCol w:w="1419"/>
        <w:gridCol w:w="1375"/>
        <w:gridCol w:w="2163"/>
        <w:tblGridChange w:id="0">
          <w:tblGrid>
            <w:gridCol w:w="4107"/>
            <w:gridCol w:w="1419"/>
            <w:gridCol w:w="1375"/>
            <w:gridCol w:w="2163"/>
          </w:tblGrid>
        </w:tblGridChange>
      </w:tblGrid>
      <w:tr>
        <w:trPr>
          <w:cantSplit w:val="0"/>
          <w:trHeight w:val="4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15"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Parametry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Jednostki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Warunki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Wartość</w:t>
            </w:r>
          </w:p>
        </w:tc>
      </w:tr>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Moc znamionowa PMPP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455</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Sprawność modułu przy STC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20,4</w:t>
            </w:r>
          </w:p>
        </w:tc>
      </w:tr>
      <w:tr>
        <w:trPr>
          <w:cantSplit w:val="0"/>
          <w:trHeight w:val="29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Waga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07"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do 25</w:t>
            </w:r>
          </w:p>
        </w:tc>
      </w:tr>
    </w:tbl>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9" w:right="0" w:firstLine="0"/>
        <w:jc w:val="left"/>
        <w:rPr>
          <w:rFonts w:ascii="Calibri" w:cs="Calibri" w:eastAsia="Calibri" w:hAnsi="Calibri"/>
          <w:b w:val="1"/>
          <w:i w:val="0"/>
          <w:smallCaps w:val="0"/>
          <w:strike w:val="0"/>
          <w:color w:val="000000"/>
          <w:sz w:val="20"/>
          <w:szCs w:val="20"/>
          <w:u w:val="singl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9" w:right="0" w:firstLine="0"/>
        <w:jc w:val="left"/>
        <w:rPr>
          <w:rFonts w:ascii="Calibri" w:cs="Calibri" w:eastAsia="Calibri" w:hAnsi="Calibri"/>
          <w:b w:val="1"/>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single"/>
          <w:shd w:fill="auto" w:val="clear"/>
          <w:vertAlign w:val="baseline"/>
          <w:rtl w:val="0"/>
        </w:rPr>
        <w:t xml:space="preserve">Gwarancja producenta paneli fotowoltaicznych na wady ukryte min. 12 lat.</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9" w:right="0" w:firstLine="0"/>
        <w:jc w:val="left"/>
        <w:rPr>
          <w:rFonts w:ascii="Calibri" w:cs="Calibri" w:eastAsia="Calibri" w:hAnsi="Calibri"/>
          <w:b w:val="1"/>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single"/>
          <w:shd w:fill="auto" w:val="clear"/>
          <w:vertAlign w:val="baseline"/>
          <w:rtl w:val="0"/>
        </w:rPr>
        <w:t xml:space="preserve">Gwarancja liniowa producenta paneli fotowoltaicznych na okres nie krótszy niż 25 lat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9" w:right="0" w:firstLine="0"/>
        <w:jc w:val="left"/>
        <w:rPr>
          <w:rFonts w:ascii="Calibri" w:cs="Calibri" w:eastAsia="Calibri" w:hAnsi="Calibri"/>
          <w:b w:val="1"/>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single"/>
          <w:shd w:fill="auto" w:val="clear"/>
          <w:vertAlign w:val="baseline"/>
          <w:rtl w:val="0"/>
        </w:rPr>
        <w:t xml:space="preserve">Gwarancja na falowniki min. 12  lat.</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9" w:right="0" w:firstLine="0"/>
        <w:jc w:val="left"/>
        <w:rPr>
          <w:rFonts w:ascii="Calibri" w:cs="Calibri" w:eastAsia="Calibri" w:hAnsi="Calibri"/>
          <w:b w:val="1"/>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single"/>
          <w:shd w:fill="auto" w:val="clear"/>
          <w:vertAlign w:val="baseline"/>
          <w:rtl w:val="0"/>
        </w:rPr>
        <w:t xml:space="preserve">Gwarancja na montaż /wykonane prace min. 144 miesięcy, tj. 12 lat (ZGODNIE ZE ZŁOŻONĄ OFERTĄ)</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9" w:right="0" w:firstLine="0"/>
        <w:jc w:val="left"/>
        <w:rPr>
          <w:rFonts w:ascii="Calibri" w:cs="Calibri" w:eastAsia="Calibri" w:hAnsi="Calibri"/>
          <w:b w:val="1"/>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single"/>
          <w:shd w:fill="auto" w:val="clear"/>
          <w:vertAlign w:val="baseline"/>
          <w:rtl w:val="0"/>
        </w:rPr>
        <w:t xml:space="preserve">Bezpłatny serwis i przeglądy instalacji cyklicznie w 1,3,6,9,12 roku</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9" w:right="0" w:firstLine="0"/>
        <w:jc w:val="left"/>
        <w:rPr>
          <w:rFonts w:ascii="Calibri" w:cs="Calibri" w:eastAsia="Calibri" w:hAnsi="Calibri"/>
          <w:b w:val="1"/>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single"/>
          <w:shd w:fill="auto" w:val="clear"/>
          <w:vertAlign w:val="baseline"/>
          <w:rtl w:val="0"/>
        </w:rPr>
        <w:t xml:space="preserve">Czas reakcji na zgłoszenie serwisowe w okresie gwarancji – w ciągu 2 dni roboczych.</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pStyle w:val="Heading1"/>
        <w:spacing w:before="0" w:line="276" w:lineRule="auto"/>
        <w:ind w:firstLine="156"/>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Inwertery</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22" w:firstLine="0"/>
        <w:jc w:val="both"/>
        <w:rPr>
          <w:rFonts w:ascii="Calibri" w:cs="Calibri" w:eastAsia="Calibri" w:hAnsi="Calibri"/>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 celu przekształcenia prądu stałego DC wytworzonego z paneli fotowoltaicznych na prąd przemienny, przewiduje się zainstalowanie falowników o odpowiedniej mocy dopasowanej na minimum 90 % instalacji po stronie AC.</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22"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pStyle w:val="Heading1"/>
        <w:spacing w:before="0" w:line="276" w:lineRule="auto"/>
        <w:ind w:firstLine="156"/>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Rozdzielnice RPV</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2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Podłączenia miedzy panelami PV a falownikiem jest realizowane za pomocą kabli dedykowanych dla instalacji stałoprądowych fotowoltaicznych o przekroju żył roboczych 6mm2.</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17"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Kable łączące modułów PV z falownikiem będą prowadzone wzdłuż trasach kablowych za pomocą rur osłonowych, przy czym rury osłonowe będą przystosowane do pracy w przestrzeni           otwartej i będą odporne na promieniowanie UV.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19"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Po stronie stałoprądowej zostaną zamontowane ochronniki przeciwprzepięciowe typu II, o napięciu znamionowym 1000V umieszczone w rozdzielnicach RPV. W skład instalacji będą wchodziły cztery takie rozdzielnice, umieszczone przy każdym falowniku.</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19"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pStyle w:val="Heading1"/>
        <w:spacing w:before="0" w:line="276" w:lineRule="auto"/>
        <w:ind w:firstLine="156"/>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Rozdzielnica RPV AC</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Falowniki zostaną podłączone do rozdzielnicy Inwerterów (RPV AC), zlokalizowanej przy jednym z falowników, najbliżej rozdzielnicy głównej.</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Przewody zostaną przeprowadzone od miejsca przyłączenia instalacji fotowoltaicznej do sieci wewnętrznej budynku tj. do rozdzielnicy RG zlokalizowanej przy stacji transformatorowej.</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Strona zmiennoprądowa w rozdzielnicy RPV AC zabezpieczona zostanie:</w:t>
      </w:r>
    </w:p>
    <w:p w:rsidR="00000000" w:rsidDel="00000000" w:rsidP="00000000" w:rsidRDefault="00000000" w:rsidRPr="00000000" w14:paraId="0000005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296"/>
        </w:tabs>
        <w:spacing w:after="0" w:before="0" w:line="276" w:lineRule="auto"/>
        <w:ind w:left="295" w:right="0" w:hanging="14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Wyłącznikami nadprądowymi S303 C20A,</w:t>
      </w:r>
    </w:p>
    <w:p w:rsidR="00000000" w:rsidDel="00000000" w:rsidP="00000000" w:rsidRDefault="00000000" w:rsidRPr="00000000" w14:paraId="0000005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277"/>
        </w:tabs>
        <w:spacing w:after="0" w:before="0" w:line="276" w:lineRule="auto"/>
        <w:ind w:left="276" w:right="0" w:hanging="121"/>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Ochronnikiem przeciwprzepięciowym typu I i II po stronie zmiennoprądowej,</w:t>
      </w:r>
    </w:p>
    <w:p w:rsidR="00000000" w:rsidDel="00000000" w:rsidP="00000000" w:rsidRDefault="00000000" w:rsidRPr="00000000" w14:paraId="0000005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296"/>
        </w:tabs>
        <w:spacing w:after="0" w:before="0" w:line="276" w:lineRule="auto"/>
        <w:ind w:left="295" w:right="0" w:hanging="14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Rozłącznikiem izolacyjnym FR 304 63A,</w:t>
      </w:r>
    </w:p>
    <w:p w:rsidR="00000000" w:rsidDel="00000000" w:rsidP="00000000" w:rsidRDefault="00000000" w:rsidRPr="00000000" w14:paraId="0000005B">
      <w:pPr>
        <w:tabs>
          <w:tab w:val="left" w:pos="296"/>
        </w:tabs>
        <w:spacing w:line="276" w:lineRule="auto"/>
        <w:ind w:left="155"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Wyłącznikiem PPOŻ - tzw. grzybkiem.</w:t>
      </w:r>
    </w:p>
    <w:p w:rsidR="00000000" w:rsidDel="00000000" w:rsidP="00000000" w:rsidRDefault="00000000" w:rsidRPr="00000000" w14:paraId="0000005C">
      <w:pPr>
        <w:tabs>
          <w:tab w:val="left" w:pos="296"/>
        </w:tabs>
        <w:spacing w:line="276" w:lineRule="auto"/>
        <w:ind w:left="155"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D">
      <w:pPr>
        <w:pStyle w:val="Heading1"/>
        <w:spacing w:before="0" w:line="276" w:lineRule="auto"/>
        <w:ind w:firstLine="156"/>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Rozdzielnica RG</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07"/>
          <w:tab w:val="left" w:pos="1576"/>
          <w:tab w:val="left" w:pos="3008"/>
          <w:tab w:val="left" w:pos="4097"/>
          <w:tab w:val="left" w:pos="4560"/>
          <w:tab w:val="left" w:pos="5752"/>
        </w:tabs>
        <w:spacing w:after="0" w:before="0" w:line="276" w:lineRule="auto"/>
        <w:ind w:left="156" w:right="122"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w:t>
        <w:tab/>
        <w:t xml:space="preserve">miejscu</w:t>
        <w:tab/>
        <w:t xml:space="preserve">przyłączenia</w:t>
        <w:tab/>
        <w:t xml:space="preserve">instalacji</w:t>
        <w:tab/>
        <w:t xml:space="preserve">do</w:t>
        <w:tab/>
        <w:t xml:space="preserve">istniejącej</w:t>
        <w:tab/>
        <w:t xml:space="preserve">rozdzielnicy</w:t>
        <w:tab/>
        <w:t xml:space="preserve">należy zamontować   zabezpieczenie nadprądowe.</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449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Zabezpieczenie jednostek wytwórczych. Inwertery posiadają wbudowane zabezpieczenia:</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antywyspowe, zabezpieczające falownik po zaniku zasilania, przed podaniem napięcia na sieć,</w:t>
      </w:r>
    </w:p>
    <w:p w:rsidR="00000000" w:rsidDel="00000000" w:rsidP="00000000" w:rsidRDefault="00000000" w:rsidRPr="00000000" w14:paraId="0000006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296"/>
        </w:tabs>
        <w:spacing w:after="0" w:before="0" w:line="276" w:lineRule="auto"/>
        <w:ind w:left="295" w:right="0" w:hanging="14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rozłącznik DC,</w:t>
      </w:r>
    </w:p>
    <w:p w:rsidR="00000000" w:rsidDel="00000000" w:rsidP="00000000" w:rsidRDefault="00000000" w:rsidRPr="00000000" w14:paraId="0000006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296"/>
        </w:tabs>
        <w:spacing w:after="0" w:before="0" w:line="276" w:lineRule="auto"/>
        <w:ind w:left="295" w:right="0" w:hanging="14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ochrona przed odwrotną polaryzacją.</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96"/>
        </w:tabs>
        <w:spacing w:after="0" w:before="0" w:line="276" w:lineRule="auto"/>
        <w:ind w:left="295"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pStyle w:val="Heading1"/>
        <w:spacing w:before="0" w:line="276" w:lineRule="auto"/>
        <w:ind w:firstLine="156"/>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Instalacja odgromowa</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24"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Ochronę modułów fotowoltaicznych należy wykonać w postaci zwodów pionowych o samodzielnych podstawach połączonych z uziomami pionowymi.</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24"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pStyle w:val="Heading1"/>
        <w:spacing w:before="0" w:line="276" w:lineRule="auto"/>
        <w:ind w:firstLine="156"/>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Ochrona przeciwprzepięciowa instalacji fotowoltaicznej</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21"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Ochronę przeciwprzepięciową będą stanowiły ograniczniki przeciwprzepięciowe typu II po stronie DC oraz typu I i II po stronie AC.</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17"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Części instalacji nieprzewodzące prądu, lecz mogące stanowić niebezpieczeństwo porażenia w  przypadku pojawienia się na nich napięcia zostaną uziemione. Szczególnie należy uziemić konstrukcje montażową paneli, obudowy falowników i rozdzielnic elektrycznych.</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23"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Główną szynę uziemiającą należy podłączyć do instalacji uziemiającej i zabezpieczyć przed uszkodzeniem i korozją.</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23"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pStyle w:val="Heading1"/>
        <w:spacing w:before="0" w:line="276" w:lineRule="auto"/>
        <w:ind w:firstLine="156"/>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Połączenia wyrównawcze</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19"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Szynę PE wszystkich projektowanych rozdzielnic i tablic elektrycznych objętych projektem należy przyłączyć do uziemienia ochronnego o oporności R ≤ 10, za pośrednictwem głównej szyny połączeń wyrównawczych. Główne szyny połączeń wyrównawczych zaprojektowano we wszystkich projektowanych rozdzielnicach objętych projektem. Do uziemienia ochronnego należy przyłączyć wszystkie obudowy metalowe zastosowanych urządzeń i wyposażenia.</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19"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pStyle w:val="Heading1"/>
        <w:spacing w:before="0" w:line="276" w:lineRule="auto"/>
        <w:ind w:firstLine="156"/>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Monitorowanie wytworzonej energii elektrycznej:</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Monitorowanie wyprodukowanej energii, będzie się odbywało za pomocą falowników. Falowniki będą zliczały wyprodukowaną energię elektryczną w skali dnia, miesiąca i roku. Dodatkowo falownik posiada wyświetlacz graficzny umożliwiający sprawdzenie bieżącej  produkcji energii. Wymagany jest monitoring z możliwością wizualizacji wyprodukowanej  energii elektrycznej z instalacji fotowoltaicznej, systemem rejestracji parametrów i archiwizacji       danych z możliwością transmisji danych do komputera/monitora zewnętrznego.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113"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Wszędzie tam, gdzie w przedmiocie zamówienia występuje konkretna norma, aprobata, specyfikacja techniczna i techniczne systemy odniesienia ustanowione przez Polskie oraz Europejskie organy normalizacyjne, Zamawiający dopuszcza rozwiązania równoważne opisywanym. Wykonawca, który powołuje się na rozwiązania równoważne opisywanym przez        Zamawiającego jest obowiązany wykazać, że oferowane przez niego rozwiązania spełniają wymagania określone przez Zamawiającego, dołączając do składanej przez siebie oferty karty katalogowe, Certyfikaty, gwarancje producenta na proponowane przez siebie rozwiązania w celu potwierdzenia spełnienia wymogów minimalnych proponowanych komponentów. Przeprowadzenie instruktażu personelu Zamawiającego w zakresie sposobu montażu, wyposażenia, uruchomienia oraz eksploatacji instalacji.</w:t>
      </w:r>
    </w:p>
    <w:p w:rsidR="00000000" w:rsidDel="00000000" w:rsidP="00000000" w:rsidRDefault="00000000" w:rsidRPr="00000000" w14:paraId="00000073">
      <w:pPr>
        <w:pStyle w:val="Heading1"/>
        <w:spacing w:before="0" w:line="276" w:lineRule="auto"/>
        <w:ind w:left="0" w:firstLine="0"/>
        <w:jc w:val="left"/>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4">
      <w:pPr>
        <w:pStyle w:val="Heading1"/>
        <w:spacing w:before="0" w:line="276" w:lineRule="auto"/>
        <w:ind w:firstLine="156"/>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Pomiary po wykonaniu instalacji – wymóg konieczny</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56"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Należy wykonać pomiary:</w:t>
      </w:r>
    </w:p>
    <w:p w:rsidR="00000000" w:rsidDel="00000000" w:rsidP="00000000" w:rsidRDefault="00000000" w:rsidRPr="00000000" w14:paraId="0000007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299"/>
        </w:tabs>
        <w:spacing w:after="0" w:before="0" w:line="276" w:lineRule="auto"/>
        <w:ind w:left="298" w:right="0" w:hanging="143"/>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Implementację pętli zwarcia,</w:t>
      </w:r>
    </w:p>
    <w:p w:rsidR="00000000" w:rsidDel="00000000" w:rsidP="00000000" w:rsidRDefault="00000000" w:rsidRPr="00000000" w14:paraId="0000007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296"/>
        </w:tabs>
        <w:spacing w:after="0" w:before="0" w:line="276" w:lineRule="auto"/>
        <w:ind w:left="295" w:right="0" w:hanging="14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Rezystancja izolacji przewodów PV,</w:t>
      </w:r>
    </w:p>
    <w:p w:rsidR="00000000" w:rsidDel="00000000" w:rsidP="00000000" w:rsidRDefault="00000000" w:rsidRPr="00000000" w14:paraId="0000007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296"/>
        </w:tabs>
        <w:spacing w:after="0" w:before="0" w:line="276" w:lineRule="auto"/>
        <w:ind w:left="295" w:right="0" w:hanging="14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Rezystancja uziemienia.</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96"/>
        </w:tabs>
        <w:spacing w:after="0" w:before="0" w:line="276" w:lineRule="auto"/>
        <w:ind w:left="295"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pStyle w:val="Heading1"/>
        <w:spacing w:before="0" w:line="276" w:lineRule="auto"/>
        <w:ind w:firstLine="156"/>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Dokumentacja powykonawcza powinna obejmować między innymi:</w:t>
      </w:r>
    </w:p>
    <w:p w:rsidR="00000000" w:rsidDel="00000000" w:rsidP="00000000" w:rsidRDefault="00000000" w:rsidRPr="00000000" w14:paraId="0000007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pos="421"/>
        </w:tabs>
        <w:spacing w:after="0" w:before="0" w:line="276" w:lineRule="auto"/>
        <w:ind w:left="156" w:right="124"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opis funkcjonalny instalacji wraz ze szczegółowym wykazem elementów wchodzących w skład dostawy,</w:t>
      </w:r>
    </w:p>
    <w:p w:rsidR="00000000" w:rsidDel="00000000" w:rsidP="00000000" w:rsidRDefault="00000000" w:rsidRPr="00000000" w14:paraId="0000007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pos="417"/>
        </w:tabs>
        <w:spacing w:after="0" w:before="0" w:line="276" w:lineRule="auto"/>
        <w:ind w:left="416" w:right="0" w:hanging="261"/>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schemat blokowy (ideowy) instalacji,</w:t>
      </w:r>
    </w:p>
    <w:p w:rsidR="00000000" w:rsidDel="00000000" w:rsidP="00000000" w:rsidRDefault="00000000" w:rsidRPr="00000000" w14:paraId="0000007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pos="402"/>
        </w:tabs>
        <w:spacing w:after="0" w:before="0" w:line="276" w:lineRule="auto"/>
        <w:ind w:left="401" w:right="0" w:hanging="246"/>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rysunek lokalizacji instalacji,</w:t>
      </w:r>
    </w:p>
    <w:p w:rsidR="00000000" w:rsidDel="00000000" w:rsidP="00000000" w:rsidRDefault="00000000" w:rsidRPr="00000000" w14:paraId="0000007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pos="417"/>
        </w:tabs>
        <w:spacing w:after="0" w:before="0" w:line="276" w:lineRule="auto"/>
        <w:ind w:left="416" w:right="0" w:hanging="261"/>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rysunki ideowe obejmujące całość obwodów instalacji,</w:t>
      </w:r>
    </w:p>
    <w:p w:rsidR="00000000" w:rsidDel="00000000" w:rsidP="00000000" w:rsidRDefault="00000000" w:rsidRPr="00000000" w14:paraId="0000007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pos="402"/>
        </w:tabs>
        <w:spacing w:after="0" w:before="0" w:line="276" w:lineRule="auto"/>
        <w:ind w:left="402" w:right="0" w:hanging="246"/>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instrukcję obsługi instalacji,</w:t>
      </w:r>
    </w:p>
    <w:p w:rsidR="00000000" w:rsidDel="00000000" w:rsidP="00000000" w:rsidRDefault="00000000" w:rsidRPr="00000000" w14:paraId="0000008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pos="375"/>
        </w:tabs>
        <w:spacing w:after="0" w:before="0" w:line="276" w:lineRule="auto"/>
        <w:ind w:left="374" w:right="0" w:hanging="219"/>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karty gwarancyjne producenta i Certyfikaty producenta do zastosowanych komponentów.</w:t>
      </w:r>
    </w:p>
    <w:p w:rsidR="00000000" w:rsidDel="00000000" w:rsidP="00000000" w:rsidRDefault="00000000" w:rsidRPr="00000000" w14:paraId="00000081">
      <w:pPr>
        <w:tabs>
          <w:tab w:val="left" w:pos="375"/>
        </w:tabs>
        <w:spacing w:line="276" w:lineRule="auto"/>
        <w:ind w:left="155"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2">
      <w:pPr>
        <w:tabs>
          <w:tab w:val="left" w:pos="375"/>
        </w:tabs>
        <w:spacing w:line="276" w:lineRule="auto"/>
        <w:ind w:left="155" w:firstLine="0"/>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Użyczenie instalacji (warunek konieczny):</w:t>
      </w:r>
    </w:p>
    <w:p w:rsidR="00000000" w:rsidDel="00000000" w:rsidP="00000000" w:rsidRDefault="00000000" w:rsidRPr="00000000" w14:paraId="0000008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pos="375"/>
        </w:tabs>
        <w:spacing w:after="0" w:before="0" w:line="276" w:lineRule="auto"/>
        <w:ind w:left="515" w:right="0" w:hanging="36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okres abonamentu minimum na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144 miesięcy , tj. 12 lat (ZGODNIE ZE ZŁOŻONĄ OFERTĄ)</w:t>
      </w:r>
    </w:p>
    <w:p w:rsidR="00000000" w:rsidDel="00000000" w:rsidP="00000000" w:rsidRDefault="00000000" w:rsidRPr="00000000" w14:paraId="0000008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pos="375"/>
        </w:tabs>
        <w:spacing w:after="0" w:before="0" w:line="276" w:lineRule="auto"/>
        <w:ind w:left="515" w:right="0" w:hanging="36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abonament miesięczny</w:t>
      </w:r>
    </w:p>
    <w:p w:rsidR="00000000" w:rsidDel="00000000" w:rsidP="00000000" w:rsidRDefault="00000000" w:rsidRPr="00000000" w14:paraId="0000008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pos="375"/>
        </w:tabs>
        <w:spacing w:after="0" w:before="0" w:line="276" w:lineRule="auto"/>
        <w:ind w:left="515" w:right="0" w:hanging="36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kwota abonamentu w stałym niezmiennym oprocentowaniu </w:t>
      </w:r>
    </w:p>
    <w:p w:rsidR="00000000" w:rsidDel="00000000" w:rsidP="00000000" w:rsidRDefault="00000000" w:rsidRPr="00000000" w14:paraId="0000008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pos="375"/>
        </w:tabs>
        <w:spacing w:after="0" w:before="0" w:line="276" w:lineRule="auto"/>
        <w:ind w:left="515" w:right="0" w:hanging="36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kwota abonamentu nieuzależniona od stawek WIBOR lub stóp procentowych</w:t>
      </w:r>
    </w:p>
    <w:p w:rsidR="00000000" w:rsidDel="00000000" w:rsidP="00000000" w:rsidRDefault="00000000" w:rsidRPr="00000000" w14:paraId="0000008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pos="375"/>
        </w:tabs>
        <w:spacing w:after="0" w:before="0" w:line="276" w:lineRule="auto"/>
        <w:ind w:left="515" w:right="0" w:hanging="360"/>
        <w:jc w:val="left"/>
        <w:rPr>
          <w:rFonts w:ascii="Calibri" w:cs="Calibri" w:eastAsia="Calibri" w:hAnsi="Calibri"/>
          <w:b w:val="1"/>
          <w:i w:val="0"/>
          <w:smallCaps w:val="0"/>
          <w:strike w:val="0"/>
          <w:color w:val="000000"/>
          <w:sz w:val="20"/>
          <w:szCs w:val="20"/>
          <w:u w:val="singl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single"/>
          <w:shd w:fill="auto" w:val="clear"/>
          <w:vertAlign w:val="baseline"/>
          <w:rtl w:val="0"/>
        </w:rPr>
        <w:t xml:space="preserve">bez wkładu finansowego Zamawiającego</w:t>
      </w:r>
    </w:p>
    <w:p w:rsidR="00000000" w:rsidDel="00000000" w:rsidP="00000000" w:rsidRDefault="00000000" w:rsidRPr="00000000" w14:paraId="0000008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pos="375"/>
        </w:tabs>
        <w:spacing w:after="0" w:before="0" w:line="276" w:lineRule="auto"/>
        <w:ind w:left="515"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korzystający z instalacji i jej produkcji będzie tylko Zamawiający</w:t>
      </w:r>
    </w:p>
    <w:p w:rsidR="00000000" w:rsidDel="00000000" w:rsidP="00000000" w:rsidRDefault="00000000" w:rsidRPr="00000000" w14:paraId="00000089">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pos="375"/>
        </w:tabs>
        <w:spacing w:after="0" w:before="0" w:line="276" w:lineRule="auto"/>
        <w:ind w:left="515" w:right="0" w:hanging="36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wykup instalacji od Wykonawcy po okresie użyczenia  w cenie nie przekraczającej 1 zł za całą instalację (tj. instalację w jednej z części zamówienia)</w:t>
      </w:r>
    </w:p>
    <w:p w:rsidR="00000000" w:rsidDel="00000000" w:rsidP="00000000" w:rsidRDefault="00000000" w:rsidRPr="00000000" w14:paraId="0000008A">
      <w:pPr>
        <w:tabs>
          <w:tab w:val="left" w:pos="375"/>
        </w:tabs>
        <w:spacing w:line="276" w:lineRule="auto"/>
        <w:rPr>
          <w:rFonts w:ascii="Calibri" w:cs="Calibri" w:eastAsia="Calibri" w:hAnsi="Calibri"/>
          <w:b w:val="1"/>
          <w:color w:val="ff0000"/>
          <w:sz w:val="20"/>
          <w:szCs w:val="20"/>
        </w:rPr>
      </w:pPr>
      <w:r w:rsidDel="00000000" w:rsidR="00000000" w:rsidRPr="00000000">
        <w:rPr>
          <w:rtl w:val="0"/>
        </w:rPr>
      </w:r>
    </w:p>
    <w:p w:rsidR="00000000" w:rsidDel="00000000" w:rsidP="00000000" w:rsidRDefault="00000000" w:rsidRPr="00000000" w14:paraId="0000008B">
      <w:pPr>
        <w:tabs>
          <w:tab w:val="left" w:pos="375"/>
        </w:tabs>
        <w:spacing w:line="276"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Dodatkowe wymagania:</w:t>
      </w:r>
    </w:p>
    <w:p w:rsidR="00000000" w:rsidDel="00000000" w:rsidP="00000000" w:rsidRDefault="00000000" w:rsidRPr="00000000" w14:paraId="0000008C">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0" w:before="0" w:line="276" w:lineRule="auto"/>
        <w:ind w:left="142" w:right="0" w:hanging="284"/>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Wykonawca gwarantuje średnią roczną produkcję energii elektrycznej z zamontowanej Instalacji na poziomie co najmniej 900 kWh/kWp.</w:t>
      </w:r>
    </w:p>
    <w:p w:rsidR="00000000" w:rsidDel="00000000" w:rsidP="00000000" w:rsidRDefault="00000000" w:rsidRPr="00000000" w14:paraId="0000008D">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0" w:before="0" w:line="276" w:lineRule="auto"/>
        <w:ind w:left="142" w:right="0" w:hanging="284"/>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Gwarancja obowiązuje przez okres 5 lat od podłączenia Instalacji do sieci elektroenergetycznej.</w:t>
      </w:r>
    </w:p>
    <w:p w:rsidR="00000000" w:rsidDel="00000000" w:rsidP="00000000" w:rsidRDefault="00000000" w:rsidRPr="00000000" w14:paraId="0000008E">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0" w:before="0" w:line="276" w:lineRule="auto"/>
        <w:ind w:left="142" w:right="0" w:hanging="284"/>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 sytuacji, gdy średnia roczna produkcja energii przez te 5 lat wyniesie poniżej 900 kWh/kWP, Wykonawca zwróci Korzystającemu różnicę jako kwotę policzoną wg wzoru:</w:t>
      </w:r>
    </w:p>
    <w:p w:rsidR="00000000" w:rsidDel="00000000" w:rsidP="00000000" w:rsidRDefault="00000000" w:rsidRPr="00000000" w14:paraId="0000008F">
      <w:pPr>
        <w:spacing w:line="276" w:lineRule="auto"/>
        <w:ind w:left="1416"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3 x (900 kWh – FŚPR kWh) x cena x kWp</w:t>
      </w:r>
    </w:p>
    <w:p w:rsidR="00000000" w:rsidDel="00000000" w:rsidP="00000000" w:rsidRDefault="00000000" w:rsidRPr="00000000" w14:paraId="00000090">
      <w:pPr>
        <w:spacing w:line="276" w:lineRule="auto"/>
        <w:ind w:left="1416"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gdzie:</w:t>
      </w:r>
    </w:p>
    <w:p w:rsidR="00000000" w:rsidDel="00000000" w:rsidP="00000000" w:rsidRDefault="00000000" w:rsidRPr="00000000" w14:paraId="00000091">
      <w:pPr>
        <w:spacing w:line="276" w:lineRule="auto"/>
        <w:ind w:left="1416"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FŚPR – faktyczna średnia produkcja roczna z 1 kWp Instalacji</w:t>
      </w:r>
    </w:p>
    <w:p w:rsidR="00000000" w:rsidDel="00000000" w:rsidP="00000000" w:rsidRDefault="00000000" w:rsidRPr="00000000" w14:paraId="00000092">
      <w:pPr>
        <w:spacing w:line="276" w:lineRule="auto"/>
        <w:ind w:left="1416"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Cena – suma ceny energii czynnej oraz zmiennych opłat dystrybucyjnych z załączonych do umowy faktur</w:t>
      </w:r>
    </w:p>
    <w:p w:rsidR="00000000" w:rsidDel="00000000" w:rsidP="00000000" w:rsidRDefault="00000000" w:rsidRPr="00000000" w14:paraId="00000093">
      <w:pPr>
        <w:spacing w:line="276" w:lineRule="auto"/>
        <w:ind w:left="1416"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kWp – moc zainstalowanej Instalacji</w:t>
      </w:r>
    </w:p>
    <w:p w:rsidR="00000000" w:rsidDel="00000000" w:rsidP="00000000" w:rsidRDefault="00000000" w:rsidRPr="00000000" w14:paraId="0000009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61" w:line="240" w:lineRule="auto"/>
        <w:ind w:left="142" w:right="0" w:hanging="284"/>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Sposób zgłaszania roszczeń z tego tytułu określają projektowane postanowienia umowy, stanowiące </w:t>
      </w:r>
      <w:r w:rsidDel="00000000" w:rsidR="00000000" w:rsidRPr="00000000">
        <w:rPr>
          <w:rFonts w:ascii="Calibri" w:cs="Calibri" w:eastAsia="Calibri" w:hAnsi="Calibri"/>
          <w:b w:val="1"/>
          <w:i w:val="1"/>
          <w:smallCaps w:val="0"/>
          <w:strike w:val="0"/>
          <w:color w:val="000000"/>
          <w:sz w:val="20"/>
          <w:szCs w:val="20"/>
          <w:u w:val="none"/>
          <w:shd w:fill="auto" w:val="clear"/>
          <w:vertAlign w:val="baseline"/>
          <w:rtl w:val="0"/>
        </w:rPr>
        <w:t xml:space="preserve">Załącznik nr 4</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do SWZ.</w:t>
      </w:r>
    </w:p>
    <w:p w:rsidR="00000000" w:rsidDel="00000000" w:rsidP="00000000" w:rsidRDefault="00000000" w:rsidRPr="00000000" w14:paraId="00000095">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161" w:line="240" w:lineRule="auto"/>
        <w:ind w:left="142" w:right="0" w:hanging="284"/>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Odpowiedzialność Wykonawcy z tytułu gwarancji produktywności wyłącza się w przypadku, gdy:</w:t>
      </w:r>
    </w:p>
    <w:p w:rsidR="00000000" w:rsidDel="00000000" w:rsidP="00000000" w:rsidRDefault="00000000" w:rsidRPr="00000000" w14:paraId="0000009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76" w:lineRule="auto"/>
        <w:ind w:left="714" w:right="0" w:hanging="357"/>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Zamawiający nie przestrzega lub nie stosuje się do warunków gwarancyjnych producentów. Podstawowym warunkiem utrzymania gwarancji produktywności jest pełne przestrzeganie przez cały okres użytkowania Instalacji począwszy od dnia montażu Instalacji, postanowień zawartych w instrukcji obsługi Instalacji i kartach gwarancyjnych komponentów oraz realizacja regularnych, pełnych przeglądów Instalacji uwzględniających: inspekcję wizualną wszystkich urządzeń, sprawdzenie połączeń skręcanych konstrukcji wsporczych, sprawdzenie połączeń elektrycznych Instalacji, rozdzielni AC, DC, stanu aparatów elektrycznych, falownika, ciągłości uziemienia modułów i konstrukcji, stanu puszek przyłączeniowych w modułach;</w:t>
      </w:r>
    </w:p>
    <w:p w:rsidR="00000000" w:rsidDel="00000000" w:rsidP="00000000" w:rsidRDefault="00000000" w:rsidRPr="00000000" w14:paraId="0000009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76" w:lineRule="auto"/>
        <w:ind w:left="714" w:right="0" w:hanging="357"/>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instalacja lub urządzenia używane są przez Zamawiającego lub jakąkolwiek osobę trzecią niezgodnie z ich przeznaczeniem, w szczególności niezgodnie z instrukcją obsługi Instalacji, kartami gwarancyjnymi producentów lub innymi dokumentami otrzymanymi przez Zamawiającego po montażu Instalacji lub urządzeń wchodzących w jej skład, gdzie znajdują się instrukcje lub wytyczne odnośnie prawidłowego ich używania;</w:t>
      </w:r>
    </w:p>
    <w:p w:rsidR="00000000" w:rsidDel="00000000" w:rsidP="00000000" w:rsidRDefault="00000000" w:rsidRPr="00000000" w14:paraId="0000009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76" w:lineRule="auto"/>
        <w:ind w:left="714" w:right="0" w:hanging="357"/>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Zamawiający nie zastosuje się do uwag, instrukcji lub informacji otrzymanych przez Zamawiającego lub producentów w trakcie obowiązywania gwarancji, dotyczących prawidłowego używania Instalacji lub urządzeń wchodzących w jej skład;</w:t>
      </w:r>
    </w:p>
    <w:p w:rsidR="00000000" w:rsidDel="00000000" w:rsidP="00000000" w:rsidRDefault="00000000" w:rsidRPr="00000000" w14:paraId="00000099">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76" w:lineRule="auto"/>
        <w:ind w:left="714" w:right="0" w:hanging="357"/>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Zamawiający lub jakakolwiek osoba trzecia dokona jakichkolwiek zmian ustawień, zmian konfiguracji, zmian lub przeróbek konstrukcyjnych dotyczących Instalacji lub urządzeń wchodzących w jej skład, w tym monitorowania lub przyłączenia dodatkowych elementów, niezgodnie z instrukcją obsługi Instalacji, kartami gwarancyjnymi lub innymi instrukcjami otrzymanymi od Wykonawcy lub producentów w tym zakresie, w szczególności bez jakiegokolwiek uzgodnienia z Wykonawcą;</w:t>
      </w:r>
    </w:p>
    <w:p w:rsidR="00000000" w:rsidDel="00000000" w:rsidP="00000000" w:rsidRDefault="00000000" w:rsidRPr="00000000" w14:paraId="0000009A">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76" w:lineRule="auto"/>
        <w:ind w:left="714" w:right="0" w:hanging="357"/>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Zamawiający lub jakakolwiek osoba trzecia dokona zmiany miejsca posadowienia Instalacji, urządzeń wchodzących w jej skład lub któregokolwiek z ich elementów, w szczególności bez uzgodnienia z Wykonawcą, albo niezgodnie z jego wytycznymi, przeprowadzania przez Zamawiającego lub jakąkolwiek osobę trzecią napraw, modyfikacji, wymiany Instalacji lub urządzeń wchodzących w jej skład lub jakiegokolwiek ich elementu bez pisemnego uzgodnienia z Wykonawcą;</w:t>
      </w:r>
    </w:p>
    <w:p w:rsidR="00000000" w:rsidDel="00000000" w:rsidP="00000000" w:rsidRDefault="00000000" w:rsidRPr="00000000" w14:paraId="0000009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76" w:lineRule="auto"/>
        <w:ind w:left="714" w:right="0" w:hanging="357"/>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wystąpi mechaniczne uszkodzenie Instalacji lub urządzeń wchodzących w jej skład, niezawinione przez przedstawiciela Wykonawcy lub producenta lub ich serwisantów, w tym spowodowane przez działanie jakiejkolwiek osoby trzeciej, a także gryzoni, ptaków lub uszkodzeń powstałych na skutek zdarzenia Siły</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14"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wyższej.</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14"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14" w:right="0" w:firstLine="0"/>
        <w:jc w:val="both"/>
        <w:rPr>
          <w:rFonts w:ascii="Calibri" w:cs="Calibri" w:eastAsia="Calibri" w:hAnsi="Calibri"/>
          <w:b w:val="1"/>
          <w:i w:val="0"/>
          <w:smallCaps w:val="0"/>
          <w:strike w:val="0"/>
          <w:color w:val="ff0000"/>
          <w:sz w:val="20"/>
          <w:szCs w:val="20"/>
          <w:u w:val="none"/>
          <w:shd w:fill="auto" w:val="clear"/>
          <w:vertAlign w:val="baseline"/>
        </w:rPr>
      </w:pP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keepNext w:val="1"/>
      <w:jc w:val="center"/>
      <w:rPr>
        <w:rFonts w:ascii="Calibri" w:cs="Calibri" w:eastAsia="Calibri" w:hAnsi="Calibri"/>
        <w:i w:val="1"/>
        <w:color w:val="00000a"/>
        <w:sz w:val="18"/>
        <w:szCs w:val="18"/>
      </w:rPr>
    </w:pPr>
    <w:r w:rsidDel="00000000" w:rsidR="00000000" w:rsidRPr="00000000">
      <w:rPr>
        <w:rFonts w:ascii="Calibri" w:cs="Calibri" w:eastAsia="Calibri" w:hAnsi="Calibri"/>
        <w:i w:val="1"/>
        <w:color w:val="00000a"/>
        <w:sz w:val="18"/>
        <w:szCs w:val="18"/>
        <w:rtl w:val="0"/>
      </w:rPr>
      <w:t xml:space="preserve">ZP.271.5.2022</w:t>
    </w:r>
  </w:p>
  <w:p w:rsidR="00000000" w:rsidDel="00000000" w:rsidP="00000000" w:rsidRDefault="00000000" w:rsidRPr="00000000" w14:paraId="000000A0">
    <w:pPr>
      <w:spacing w:after="240" w:lineRule="auto"/>
      <w:jc w:val="center"/>
      <w:rPr>
        <w:rFonts w:ascii="Calibri" w:cs="Calibri" w:eastAsia="Calibri" w:hAnsi="Calibri"/>
        <w:i w:val="1"/>
        <w:sz w:val="18"/>
        <w:szCs w:val="18"/>
      </w:rPr>
    </w:pPr>
    <w:r w:rsidDel="00000000" w:rsidR="00000000" w:rsidRPr="00000000">
      <w:rPr>
        <w:rFonts w:ascii="Calibri" w:cs="Calibri" w:eastAsia="Calibri" w:hAnsi="Calibri"/>
        <w:i w:val="1"/>
        <w:sz w:val="18"/>
        <w:szCs w:val="18"/>
        <w:rtl w:val="0"/>
      </w:rPr>
      <w:t xml:space="preserve">Dostawa 3 instalacji fotowoltaicznych dla 3 obiektów publicznych gm. Szczaniec na zasadzie miesięcznego abonamentu poprzez montaż wraz z uruchomieniem i eksploatacją instalacji fotowoltaicznej – zamówienie powtórzone</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295" w:hanging="140"/>
      </w:pPr>
      <w:rPr>
        <w:rFonts w:ascii="Times New Roman" w:cs="Times New Roman" w:eastAsia="Times New Roman" w:hAnsi="Times New Roman"/>
        <w:sz w:val="24"/>
        <w:szCs w:val="24"/>
      </w:rPr>
    </w:lvl>
    <w:lvl w:ilvl="1">
      <w:start w:val="0"/>
      <w:numFmt w:val="bullet"/>
      <w:lvlText w:val="•"/>
      <w:lvlJc w:val="left"/>
      <w:pPr>
        <w:ind w:left="1204" w:hanging="140"/>
      </w:pPr>
      <w:rPr/>
    </w:lvl>
    <w:lvl w:ilvl="2">
      <w:start w:val="0"/>
      <w:numFmt w:val="bullet"/>
      <w:lvlText w:val="•"/>
      <w:lvlJc w:val="left"/>
      <w:pPr>
        <w:ind w:left="2109" w:hanging="140"/>
      </w:pPr>
      <w:rPr/>
    </w:lvl>
    <w:lvl w:ilvl="3">
      <w:start w:val="0"/>
      <w:numFmt w:val="bullet"/>
      <w:lvlText w:val="•"/>
      <w:lvlJc w:val="left"/>
      <w:pPr>
        <w:ind w:left="3013" w:hanging="140"/>
      </w:pPr>
      <w:rPr/>
    </w:lvl>
    <w:lvl w:ilvl="4">
      <w:start w:val="0"/>
      <w:numFmt w:val="bullet"/>
      <w:lvlText w:val="•"/>
      <w:lvlJc w:val="left"/>
      <w:pPr>
        <w:ind w:left="3918" w:hanging="140"/>
      </w:pPr>
      <w:rPr/>
    </w:lvl>
    <w:lvl w:ilvl="5">
      <w:start w:val="0"/>
      <w:numFmt w:val="bullet"/>
      <w:lvlText w:val="•"/>
      <w:lvlJc w:val="left"/>
      <w:pPr>
        <w:ind w:left="4823" w:hanging="140"/>
      </w:pPr>
      <w:rPr/>
    </w:lvl>
    <w:lvl w:ilvl="6">
      <w:start w:val="0"/>
      <w:numFmt w:val="bullet"/>
      <w:lvlText w:val="•"/>
      <w:lvlJc w:val="left"/>
      <w:pPr>
        <w:ind w:left="5727" w:hanging="140"/>
      </w:pPr>
      <w:rPr/>
    </w:lvl>
    <w:lvl w:ilvl="7">
      <w:start w:val="0"/>
      <w:numFmt w:val="bullet"/>
      <w:lvlText w:val="•"/>
      <w:lvlJc w:val="left"/>
      <w:pPr>
        <w:ind w:left="6632" w:hanging="140"/>
      </w:pPr>
      <w:rPr/>
    </w:lvl>
    <w:lvl w:ilvl="8">
      <w:start w:val="0"/>
      <w:numFmt w:val="bullet"/>
      <w:lvlText w:val="•"/>
      <w:lvlJc w:val="left"/>
      <w:pPr>
        <w:ind w:left="7537" w:hanging="140"/>
      </w:pPr>
      <w:rPr/>
    </w:lvl>
  </w:abstractNum>
  <w:abstractNum w:abstractNumId="2">
    <w:lvl w:ilvl="0">
      <w:start w:val="0"/>
      <w:numFmt w:val="bullet"/>
      <w:lvlText w:val="-"/>
      <w:lvlJc w:val="left"/>
      <w:pPr>
        <w:ind w:left="156" w:hanging="140"/>
      </w:pPr>
      <w:rPr>
        <w:rFonts w:ascii="Times New Roman" w:cs="Times New Roman" w:eastAsia="Times New Roman" w:hAnsi="Times New Roman"/>
        <w:sz w:val="24"/>
        <w:szCs w:val="24"/>
      </w:rPr>
    </w:lvl>
    <w:lvl w:ilvl="1">
      <w:start w:val="0"/>
      <w:numFmt w:val="bullet"/>
      <w:lvlText w:val="•"/>
      <w:lvlJc w:val="left"/>
      <w:pPr>
        <w:ind w:left="1078" w:hanging="140"/>
      </w:pPr>
      <w:rPr/>
    </w:lvl>
    <w:lvl w:ilvl="2">
      <w:start w:val="0"/>
      <w:numFmt w:val="bullet"/>
      <w:lvlText w:val="•"/>
      <w:lvlJc w:val="left"/>
      <w:pPr>
        <w:ind w:left="1997" w:hanging="140"/>
      </w:pPr>
      <w:rPr/>
    </w:lvl>
    <w:lvl w:ilvl="3">
      <w:start w:val="0"/>
      <w:numFmt w:val="bullet"/>
      <w:lvlText w:val="•"/>
      <w:lvlJc w:val="left"/>
      <w:pPr>
        <w:ind w:left="2915" w:hanging="140"/>
      </w:pPr>
      <w:rPr/>
    </w:lvl>
    <w:lvl w:ilvl="4">
      <w:start w:val="0"/>
      <w:numFmt w:val="bullet"/>
      <w:lvlText w:val="•"/>
      <w:lvlJc w:val="left"/>
      <w:pPr>
        <w:ind w:left="3834" w:hanging="140"/>
      </w:pPr>
      <w:rPr/>
    </w:lvl>
    <w:lvl w:ilvl="5">
      <w:start w:val="0"/>
      <w:numFmt w:val="bullet"/>
      <w:lvlText w:val="•"/>
      <w:lvlJc w:val="left"/>
      <w:pPr>
        <w:ind w:left="4753" w:hanging="140"/>
      </w:pPr>
      <w:rPr/>
    </w:lvl>
    <w:lvl w:ilvl="6">
      <w:start w:val="0"/>
      <w:numFmt w:val="bullet"/>
      <w:lvlText w:val="•"/>
      <w:lvlJc w:val="left"/>
      <w:pPr>
        <w:ind w:left="5671" w:hanging="140"/>
      </w:pPr>
      <w:rPr/>
    </w:lvl>
    <w:lvl w:ilvl="7">
      <w:start w:val="0"/>
      <w:numFmt w:val="bullet"/>
      <w:lvlText w:val="•"/>
      <w:lvlJc w:val="left"/>
      <w:pPr>
        <w:ind w:left="6590" w:hanging="140"/>
      </w:pPr>
      <w:rPr/>
    </w:lvl>
    <w:lvl w:ilvl="8">
      <w:start w:val="0"/>
      <w:numFmt w:val="bullet"/>
      <w:lvlText w:val="•"/>
      <w:lvlJc w:val="left"/>
      <w:pPr>
        <w:ind w:left="7509" w:hanging="140"/>
      </w:pPr>
      <w:rPr/>
    </w:lvl>
  </w:abstractNum>
  <w:abstractNum w:abstractNumId="3">
    <w:lvl w:ilvl="0">
      <w:start w:val="1"/>
      <w:numFmt w:val="lowerLetter"/>
      <w:lvlText w:val="%1)"/>
      <w:lvlJc w:val="left"/>
      <w:pPr>
        <w:ind w:left="156" w:hanging="264"/>
      </w:pPr>
      <w:rPr>
        <w:rFonts w:ascii="Times New Roman" w:cs="Times New Roman" w:eastAsia="Times New Roman" w:hAnsi="Times New Roman"/>
        <w:sz w:val="24"/>
        <w:szCs w:val="24"/>
      </w:rPr>
    </w:lvl>
    <w:lvl w:ilvl="1">
      <w:start w:val="0"/>
      <w:numFmt w:val="bullet"/>
      <w:lvlText w:val="•"/>
      <w:lvlJc w:val="left"/>
      <w:pPr>
        <w:ind w:left="1078" w:hanging="264"/>
      </w:pPr>
      <w:rPr/>
    </w:lvl>
    <w:lvl w:ilvl="2">
      <w:start w:val="0"/>
      <w:numFmt w:val="bullet"/>
      <w:lvlText w:val="•"/>
      <w:lvlJc w:val="left"/>
      <w:pPr>
        <w:ind w:left="1997" w:hanging="264.0000000000002"/>
      </w:pPr>
      <w:rPr/>
    </w:lvl>
    <w:lvl w:ilvl="3">
      <w:start w:val="0"/>
      <w:numFmt w:val="bullet"/>
      <w:lvlText w:val="•"/>
      <w:lvlJc w:val="left"/>
      <w:pPr>
        <w:ind w:left="2915" w:hanging="264"/>
      </w:pPr>
      <w:rPr/>
    </w:lvl>
    <w:lvl w:ilvl="4">
      <w:start w:val="0"/>
      <w:numFmt w:val="bullet"/>
      <w:lvlText w:val="•"/>
      <w:lvlJc w:val="left"/>
      <w:pPr>
        <w:ind w:left="3834" w:hanging="264"/>
      </w:pPr>
      <w:rPr/>
    </w:lvl>
    <w:lvl w:ilvl="5">
      <w:start w:val="0"/>
      <w:numFmt w:val="bullet"/>
      <w:lvlText w:val="•"/>
      <w:lvlJc w:val="left"/>
      <w:pPr>
        <w:ind w:left="4753" w:hanging="264"/>
      </w:pPr>
      <w:rPr/>
    </w:lvl>
    <w:lvl w:ilvl="6">
      <w:start w:val="0"/>
      <w:numFmt w:val="bullet"/>
      <w:lvlText w:val="•"/>
      <w:lvlJc w:val="left"/>
      <w:pPr>
        <w:ind w:left="5671" w:hanging="264"/>
      </w:pPr>
      <w:rPr/>
    </w:lvl>
    <w:lvl w:ilvl="7">
      <w:start w:val="0"/>
      <w:numFmt w:val="bullet"/>
      <w:lvlText w:val="•"/>
      <w:lvlJc w:val="left"/>
      <w:pPr>
        <w:ind w:left="6590" w:hanging="264"/>
      </w:pPr>
      <w:rPr/>
    </w:lvl>
    <w:lvl w:ilvl="8">
      <w:start w:val="0"/>
      <w:numFmt w:val="bullet"/>
      <w:lvlText w:val="•"/>
      <w:lvlJc w:val="left"/>
      <w:pPr>
        <w:ind w:left="7509" w:hanging="264"/>
      </w:pPr>
      <w:rPr/>
    </w:lvl>
  </w:abstractNum>
  <w:abstractNum w:abstractNumId="4">
    <w:lvl w:ilvl="0">
      <w:start w:val="1"/>
      <w:numFmt w:val="bullet"/>
      <w:lvlText w:val="−"/>
      <w:lvlJc w:val="left"/>
      <w:pPr>
        <w:ind w:left="872" w:hanging="358"/>
      </w:pPr>
      <w:rPr>
        <w:rFonts w:ascii="Noto Sans Symbols" w:cs="Noto Sans Symbols" w:eastAsia="Noto Sans Symbols" w:hAnsi="Noto Sans Symbols"/>
      </w:rPr>
    </w:lvl>
    <w:lvl w:ilvl="1">
      <w:start w:val="0"/>
      <w:numFmt w:val="bullet"/>
      <w:lvlText w:val="•"/>
      <w:lvlJc w:val="left"/>
      <w:pPr>
        <w:ind w:left="1760" w:hanging="358"/>
      </w:pPr>
      <w:rPr/>
    </w:lvl>
    <w:lvl w:ilvl="2">
      <w:start w:val="0"/>
      <w:numFmt w:val="bullet"/>
      <w:lvlText w:val="•"/>
      <w:lvlJc w:val="left"/>
      <w:pPr>
        <w:ind w:left="2643" w:hanging="358"/>
      </w:pPr>
      <w:rPr/>
    </w:lvl>
    <w:lvl w:ilvl="3">
      <w:start w:val="0"/>
      <w:numFmt w:val="bullet"/>
      <w:lvlText w:val="•"/>
      <w:lvlJc w:val="left"/>
      <w:pPr>
        <w:ind w:left="3525" w:hanging="358"/>
      </w:pPr>
      <w:rPr/>
    </w:lvl>
    <w:lvl w:ilvl="4">
      <w:start w:val="0"/>
      <w:numFmt w:val="bullet"/>
      <w:lvlText w:val="•"/>
      <w:lvlJc w:val="left"/>
      <w:pPr>
        <w:ind w:left="4408" w:hanging="358"/>
      </w:pPr>
      <w:rPr/>
    </w:lvl>
    <w:lvl w:ilvl="5">
      <w:start w:val="0"/>
      <w:numFmt w:val="bullet"/>
      <w:lvlText w:val="•"/>
      <w:lvlJc w:val="left"/>
      <w:pPr>
        <w:ind w:left="5291" w:hanging="358"/>
      </w:pPr>
      <w:rPr/>
    </w:lvl>
    <w:lvl w:ilvl="6">
      <w:start w:val="0"/>
      <w:numFmt w:val="bullet"/>
      <w:lvlText w:val="•"/>
      <w:lvlJc w:val="left"/>
      <w:pPr>
        <w:ind w:left="6173" w:hanging="358"/>
      </w:pPr>
      <w:rPr/>
    </w:lvl>
    <w:lvl w:ilvl="7">
      <w:start w:val="0"/>
      <w:numFmt w:val="bullet"/>
      <w:lvlText w:val="•"/>
      <w:lvlJc w:val="left"/>
      <w:pPr>
        <w:ind w:left="7056" w:hanging="357.9999999999991"/>
      </w:pPr>
      <w:rPr/>
    </w:lvl>
    <w:lvl w:ilvl="8">
      <w:start w:val="0"/>
      <w:numFmt w:val="bullet"/>
      <w:lvlText w:val="•"/>
      <w:lvlJc w:val="left"/>
      <w:pPr>
        <w:ind w:left="7939" w:hanging="358"/>
      </w:pPr>
      <w:rPr/>
    </w:lvl>
  </w:abstractNum>
  <w:abstractNum w:abstractNumId="5">
    <w:lvl w:ilvl="0">
      <w:start w:val="1"/>
      <w:numFmt w:val="lowerLetter"/>
      <w:lvlText w:val="%1)"/>
      <w:lvlJc w:val="left"/>
      <w:pPr>
        <w:ind w:left="515" w:hanging="360"/>
      </w:pPr>
      <w:rPr>
        <w:b w:val="0"/>
      </w:rPr>
    </w:lvl>
    <w:lvl w:ilvl="1">
      <w:start w:val="1"/>
      <w:numFmt w:val="lowerLetter"/>
      <w:lvlText w:val="%2."/>
      <w:lvlJc w:val="left"/>
      <w:pPr>
        <w:ind w:left="1235" w:hanging="360"/>
      </w:pPr>
      <w:rPr/>
    </w:lvl>
    <w:lvl w:ilvl="2">
      <w:start w:val="1"/>
      <w:numFmt w:val="lowerRoman"/>
      <w:lvlText w:val="%3."/>
      <w:lvlJc w:val="right"/>
      <w:pPr>
        <w:ind w:left="1955" w:hanging="180"/>
      </w:pPr>
      <w:rPr/>
    </w:lvl>
    <w:lvl w:ilvl="3">
      <w:start w:val="1"/>
      <w:numFmt w:val="decimal"/>
      <w:lvlText w:val="%4."/>
      <w:lvlJc w:val="left"/>
      <w:pPr>
        <w:ind w:left="2675" w:hanging="360"/>
      </w:pPr>
      <w:rPr/>
    </w:lvl>
    <w:lvl w:ilvl="4">
      <w:start w:val="1"/>
      <w:numFmt w:val="lowerLetter"/>
      <w:lvlText w:val="%5."/>
      <w:lvlJc w:val="left"/>
      <w:pPr>
        <w:ind w:left="3395" w:hanging="360"/>
      </w:pPr>
      <w:rPr/>
    </w:lvl>
    <w:lvl w:ilvl="5">
      <w:start w:val="1"/>
      <w:numFmt w:val="lowerRoman"/>
      <w:lvlText w:val="%6."/>
      <w:lvlJc w:val="right"/>
      <w:pPr>
        <w:ind w:left="4115" w:hanging="180"/>
      </w:pPr>
      <w:rPr/>
    </w:lvl>
    <w:lvl w:ilvl="6">
      <w:start w:val="1"/>
      <w:numFmt w:val="decimal"/>
      <w:lvlText w:val="%7."/>
      <w:lvlJc w:val="left"/>
      <w:pPr>
        <w:ind w:left="4835" w:hanging="360"/>
      </w:pPr>
      <w:rPr/>
    </w:lvl>
    <w:lvl w:ilvl="7">
      <w:start w:val="1"/>
      <w:numFmt w:val="lowerLetter"/>
      <w:lvlText w:val="%8."/>
      <w:lvlJc w:val="left"/>
      <w:pPr>
        <w:ind w:left="5555" w:hanging="360"/>
      </w:pPr>
      <w:rPr/>
    </w:lvl>
    <w:lvl w:ilvl="8">
      <w:start w:val="1"/>
      <w:numFmt w:val="lowerRoman"/>
      <w:lvlText w:val="%9."/>
      <w:lvlJc w:val="right"/>
      <w:pPr>
        <w:ind w:left="6275" w:hanging="180"/>
      </w:pPr>
      <w:rPr/>
    </w:lvl>
  </w:abstractNum>
  <w:abstractNum w:abstractNumId="6">
    <w:lvl w:ilvl="0">
      <w:start w:val="1"/>
      <w:numFmt w:val="bullet"/>
      <w:lvlText w:val="−"/>
      <w:lvlJc w:val="left"/>
      <w:pPr>
        <w:ind w:left="875" w:hanging="360"/>
      </w:pPr>
      <w:rPr>
        <w:rFonts w:ascii="Noto Sans Symbols" w:cs="Noto Sans Symbols" w:eastAsia="Noto Sans Symbols" w:hAnsi="Noto Sans Symbols"/>
      </w:rPr>
    </w:lvl>
    <w:lvl w:ilvl="1">
      <w:start w:val="1"/>
      <w:numFmt w:val="bullet"/>
      <w:lvlText w:val="o"/>
      <w:lvlJc w:val="left"/>
      <w:pPr>
        <w:ind w:left="1595" w:hanging="360"/>
      </w:pPr>
      <w:rPr>
        <w:rFonts w:ascii="Courier New" w:cs="Courier New" w:eastAsia="Courier New" w:hAnsi="Courier New"/>
      </w:rPr>
    </w:lvl>
    <w:lvl w:ilvl="2">
      <w:start w:val="1"/>
      <w:numFmt w:val="bullet"/>
      <w:lvlText w:val="▪"/>
      <w:lvlJc w:val="left"/>
      <w:pPr>
        <w:ind w:left="2315" w:hanging="360"/>
      </w:pPr>
      <w:rPr>
        <w:rFonts w:ascii="Noto Sans Symbols" w:cs="Noto Sans Symbols" w:eastAsia="Noto Sans Symbols" w:hAnsi="Noto Sans Symbols"/>
      </w:rPr>
    </w:lvl>
    <w:lvl w:ilvl="3">
      <w:start w:val="1"/>
      <w:numFmt w:val="bullet"/>
      <w:lvlText w:val="●"/>
      <w:lvlJc w:val="left"/>
      <w:pPr>
        <w:ind w:left="3035" w:hanging="360"/>
      </w:pPr>
      <w:rPr>
        <w:rFonts w:ascii="Noto Sans Symbols" w:cs="Noto Sans Symbols" w:eastAsia="Noto Sans Symbols" w:hAnsi="Noto Sans Symbols"/>
      </w:rPr>
    </w:lvl>
    <w:lvl w:ilvl="4">
      <w:start w:val="1"/>
      <w:numFmt w:val="bullet"/>
      <w:lvlText w:val="o"/>
      <w:lvlJc w:val="left"/>
      <w:pPr>
        <w:ind w:left="3755" w:hanging="360"/>
      </w:pPr>
      <w:rPr>
        <w:rFonts w:ascii="Courier New" w:cs="Courier New" w:eastAsia="Courier New" w:hAnsi="Courier New"/>
      </w:rPr>
    </w:lvl>
    <w:lvl w:ilvl="5">
      <w:start w:val="1"/>
      <w:numFmt w:val="bullet"/>
      <w:lvlText w:val="▪"/>
      <w:lvlJc w:val="left"/>
      <w:pPr>
        <w:ind w:left="4475" w:hanging="360"/>
      </w:pPr>
      <w:rPr>
        <w:rFonts w:ascii="Noto Sans Symbols" w:cs="Noto Sans Symbols" w:eastAsia="Noto Sans Symbols" w:hAnsi="Noto Sans Symbols"/>
      </w:rPr>
    </w:lvl>
    <w:lvl w:ilvl="6">
      <w:start w:val="1"/>
      <w:numFmt w:val="bullet"/>
      <w:lvlText w:val="●"/>
      <w:lvlJc w:val="left"/>
      <w:pPr>
        <w:ind w:left="5195" w:hanging="360"/>
      </w:pPr>
      <w:rPr>
        <w:rFonts w:ascii="Noto Sans Symbols" w:cs="Noto Sans Symbols" w:eastAsia="Noto Sans Symbols" w:hAnsi="Noto Sans Symbols"/>
      </w:rPr>
    </w:lvl>
    <w:lvl w:ilvl="7">
      <w:start w:val="1"/>
      <w:numFmt w:val="bullet"/>
      <w:lvlText w:val="o"/>
      <w:lvlJc w:val="left"/>
      <w:pPr>
        <w:ind w:left="5915" w:hanging="360"/>
      </w:pPr>
      <w:rPr>
        <w:rFonts w:ascii="Courier New" w:cs="Courier New" w:eastAsia="Courier New" w:hAnsi="Courier New"/>
      </w:rPr>
    </w:lvl>
    <w:lvl w:ilvl="8">
      <w:start w:val="1"/>
      <w:numFmt w:val="bullet"/>
      <w:lvlText w:val="▪"/>
      <w:lvlJc w:val="left"/>
      <w:pPr>
        <w:ind w:left="6635" w:hanging="360"/>
      </w:pPr>
      <w:rPr>
        <w:rFonts w:ascii="Noto Sans Symbols" w:cs="Noto Sans Symbols" w:eastAsia="Noto Sans Symbols" w:hAnsi="Noto Sans Symbols"/>
      </w:rPr>
    </w:lvl>
  </w:abstractNum>
  <w:abstractNum w:abstractNumId="7">
    <w:lvl w:ilvl="0">
      <w:start w:val="1"/>
      <w:numFmt w:val="bullet"/>
      <w:lvlText w:val="−"/>
      <w:lvlJc w:val="left"/>
      <w:pPr>
        <w:ind w:left="875" w:hanging="360"/>
      </w:pPr>
      <w:rPr>
        <w:rFonts w:ascii="Noto Sans Symbols" w:cs="Noto Sans Symbols" w:eastAsia="Noto Sans Symbols" w:hAnsi="Noto Sans Symbols"/>
      </w:rPr>
    </w:lvl>
    <w:lvl w:ilvl="1">
      <w:start w:val="1"/>
      <w:numFmt w:val="lowerLetter"/>
      <w:lvlText w:val="%2."/>
      <w:lvlJc w:val="left"/>
      <w:pPr>
        <w:ind w:left="1595" w:hanging="360"/>
      </w:pPr>
      <w:rPr/>
    </w:lvl>
    <w:lvl w:ilvl="2">
      <w:start w:val="1"/>
      <w:numFmt w:val="lowerRoman"/>
      <w:lvlText w:val="%3."/>
      <w:lvlJc w:val="right"/>
      <w:pPr>
        <w:ind w:left="2315" w:hanging="180"/>
      </w:pPr>
      <w:rPr/>
    </w:lvl>
    <w:lvl w:ilvl="3">
      <w:start w:val="1"/>
      <w:numFmt w:val="decimal"/>
      <w:lvlText w:val="%4."/>
      <w:lvlJc w:val="left"/>
      <w:pPr>
        <w:ind w:left="3035" w:hanging="360"/>
      </w:pPr>
      <w:rPr/>
    </w:lvl>
    <w:lvl w:ilvl="4">
      <w:start w:val="1"/>
      <w:numFmt w:val="lowerLetter"/>
      <w:lvlText w:val="%5."/>
      <w:lvlJc w:val="left"/>
      <w:pPr>
        <w:ind w:left="3755" w:hanging="360"/>
      </w:pPr>
      <w:rPr/>
    </w:lvl>
    <w:lvl w:ilvl="5">
      <w:start w:val="1"/>
      <w:numFmt w:val="lowerRoman"/>
      <w:lvlText w:val="%6."/>
      <w:lvlJc w:val="right"/>
      <w:pPr>
        <w:ind w:left="4475" w:hanging="180"/>
      </w:pPr>
      <w:rPr/>
    </w:lvl>
    <w:lvl w:ilvl="6">
      <w:start w:val="1"/>
      <w:numFmt w:val="decimal"/>
      <w:lvlText w:val="%7."/>
      <w:lvlJc w:val="left"/>
      <w:pPr>
        <w:ind w:left="5195" w:hanging="360"/>
      </w:pPr>
      <w:rPr/>
    </w:lvl>
    <w:lvl w:ilvl="7">
      <w:start w:val="1"/>
      <w:numFmt w:val="lowerLetter"/>
      <w:lvlText w:val="%8."/>
      <w:lvlJc w:val="left"/>
      <w:pPr>
        <w:ind w:left="5915" w:hanging="360"/>
      </w:pPr>
      <w:rPr/>
    </w:lvl>
    <w:lvl w:ilvl="8">
      <w:start w:val="1"/>
      <w:numFmt w:val="lowerRoman"/>
      <w:lvlText w:val="%9."/>
      <w:lvlJc w:val="right"/>
      <w:pPr>
        <w:ind w:left="6635"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516" w:hanging="360"/>
      </w:pPr>
      <w:rPr/>
    </w:lvl>
    <w:lvl w:ilvl="1">
      <w:start w:val="1"/>
      <w:numFmt w:val="lowerLetter"/>
      <w:lvlText w:val="%2."/>
      <w:lvlJc w:val="left"/>
      <w:pPr>
        <w:ind w:left="1236" w:hanging="360"/>
      </w:pPr>
      <w:rPr/>
    </w:lvl>
    <w:lvl w:ilvl="2">
      <w:start w:val="1"/>
      <w:numFmt w:val="lowerRoman"/>
      <w:lvlText w:val="%3."/>
      <w:lvlJc w:val="right"/>
      <w:pPr>
        <w:ind w:left="1956" w:hanging="180"/>
      </w:pPr>
      <w:rPr/>
    </w:lvl>
    <w:lvl w:ilvl="3">
      <w:start w:val="1"/>
      <w:numFmt w:val="decimal"/>
      <w:lvlText w:val="%4."/>
      <w:lvlJc w:val="left"/>
      <w:pPr>
        <w:ind w:left="2676" w:hanging="360"/>
      </w:pPr>
      <w:rPr/>
    </w:lvl>
    <w:lvl w:ilvl="4">
      <w:start w:val="1"/>
      <w:numFmt w:val="lowerLetter"/>
      <w:lvlText w:val="%5."/>
      <w:lvlJc w:val="left"/>
      <w:pPr>
        <w:ind w:left="3396" w:hanging="360"/>
      </w:pPr>
      <w:rPr/>
    </w:lvl>
    <w:lvl w:ilvl="5">
      <w:start w:val="1"/>
      <w:numFmt w:val="lowerRoman"/>
      <w:lvlText w:val="%6."/>
      <w:lvlJc w:val="right"/>
      <w:pPr>
        <w:ind w:left="4116" w:hanging="180"/>
      </w:pPr>
      <w:rPr/>
    </w:lvl>
    <w:lvl w:ilvl="6">
      <w:start w:val="1"/>
      <w:numFmt w:val="decimal"/>
      <w:lvlText w:val="%7."/>
      <w:lvlJc w:val="left"/>
      <w:pPr>
        <w:ind w:left="4836" w:hanging="360"/>
      </w:pPr>
      <w:rPr/>
    </w:lvl>
    <w:lvl w:ilvl="7">
      <w:start w:val="1"/>
      <w:numFmt w:val="lowerLetter"/>
      <w:lvlText w:val="%8."/>
      <w:lvlJc w:val="left"/>
      <w:pPr>
        <w:ind w:left="5556" w:hanging="360"/>
      </w:pPr>
      <w:rPr/>
    </w:lvl>
    <w:lvl w:ilvl="8">
      <w:start w:val="1"/>
      <w:numFmt w:val="lowerRoman"/>
      <w:lvlText w:val="%9."/>
      <w:lvlJc w:val="right"/>
      <w:pPr>
        <w:ind w:left="6276"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pl-PL"/>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90" w:lineRule="auto"/>
      <w:ind w:left="156"/>
      <w:jc w:val="both"/>
    </w:pPr>
    <w:rPr>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ny" w:default="1">
    <w:name w:val="Normal"/>
    <w:qFormat w:val="1"/>
    <w:rsid w:val="00C21529"/>
    <w:pPr>
      <w:widowControl w:val="0"/>
      <w:autoSpaceDE w:val="0"/>
      <w:autoSpaceDN w:val="0"/>
      <w:spacing w:after="0" w:line="240" w:lineRule="auto"/>
    </w:pPr>
    <w:rPr>
      <w:rFonts w:ascii="Times New Roman" w:cs="Times New Roman" w:eastAsia="Times New Roman" w:hAnsi="Times New Roman"/>
    </w:rPr>
  </w:style>
  <w:style w:type="paragraph" w:styleId="Nagwek1">
    <w:name w:val="heading 1"/>
    <w:basedOn w:val="Normalny"/>
    <w:link w:val="Nagwek1Znak"/>
    <w:uiPriority w:val="9"/>
    <w:qFormat w:val="1"/>
    <w:rsid w:val="00C21529"/>
    <w:pPr>
      <w:spacing w:before="90"/>
      <w:ind w:left="156"/>
      <w:jc w:val="both"/>
      <w:outlineLvl w:val="0"/>
    </w:pPr>
    <w:rPr>
      <w:b w:val="1"/>
      <w:bCs w:val="1"/>
      <w:sz w:val="24"/>
      <w:szCs w:val="24"/>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character" w:styleId="Nagwek1Znak" w:customStyle="1">
    <w:name w:val="Nagłówek 1 Znak"/>
    <w:basedOn w:val="Domylnaczcionkaakapitu"/>
    <w:link w:val="Nagwek1"/>
    <w:uiPriority w:val="9"/>
    <w:rsid w:val="00C21529"/>
    <w:rPr>
      <w:rFonts w:ascii="Times New Roman" w:cs="Times New Roman" w:eastAsia="Times New Roman" w:hAnsi="Times New Roman"/>
      <w:b w:val="1"/>
      <w:bCs w:val="1"/>
      <w:sz w:val="24"/>
      <w:szCs w:val="24"/>
    </w:rPr>
  </w:style>
  <w:style w:type="paragraph" w:styleId="Tekstkomentarza">
    <w:name w:val="annotation text"/>
    <w:basedOn w:val="Normalny"/>
    <w:link w:val="TekstkomentarzaZnak"/>
    <w:uiPriority w:val="99"/>
    <w:semiHidden w:val="1"/>
    <w:unhideWhenUsed w:val="1"/>
    <w:rsid w:val="00C21529"/>
    <w:rPr>
      <w:sz w:val="20"/>
      <w:szCs w:val="20"/>
    </w:rPr>
  </w:style>
  <w:style w:type="character" w:styleId="TekstkomentarzaZnak" w:customStyle="1">
    <w:name w:val="Tekst komentarza Znak"/>
    <w:basedOn w:val="Domylnaczcionkaakapitu"/>
    <w:link w:val="Tekstkomentarza"/>
    <w:uiPriority w:val="99"/>
    <w:semiHidden w:val="1"/>
    <w:rsid w:val="00C21529"/>
    <w:rPr>
      <w:rFonts w:ascii="Times New Roman" w:cs="Times New Roman" w:eastAsia="Times New Roman" w:hAnsi="Times New Roman"/>
      <w:sz w:val="20"/>
      <w:szCs w:val="20"/>
    </w:rPr>
  </w:style>
  <w:style w:type="paragraph" w:styleId="Tekstpodstawowy">
    <w:name w:val="Body Text"/>
    <w:basedOn w:val="Normalny"/>
    <w:link w:val="TekstpodstawowyZnak"/>
    <w:uiPriority w:val="1"/>
    <w:unhideWhenUsed w:val="1"/>
    <w:qFormat w:val="1"/>
    <w:rsid w:val="00C21529"/>
    <w:pPr>
      <w:ind w:left="156"/>
    </w:pPr>
    <w:rPr>
      <w:sz w:val="24"/>
      <w:szCs w:val="24"/>
    </w:rPr>
  </w:style>
  <w:style w:type="character" w:styleId="TekstpodstawowyZnak" w:customStyle="1">
    <w:name w:val="Tekst podstawowy Znak"/>
    <w:basedOn w:val="Domylnaczcionkaakapitu"/>
    <w:link w:val="Tekstpodstawowy"/>
    <w:uiPriority w:val="1"/>
    <w:rsid w:val="00C21529"/>
    <w:rPr>
      <w:rFonts w:ascii="Times New Roman" w:cs="Times New Roman" w:eastAsia="Times New Roman" w:hAnsi="Times New Roman"/>
      <w:sz w:val="24"/>
      <w:szCs w:val="24"/>
    </w:rPr>
  </w:style>
  <w:style w:type="paragraph" w:styleId="Akapitzlist">
    <w:name w:val="List Paragraph"/>
    <w:aliases w:val="Preambuła,Data wydania,List Paragraph,CW_Lista,BulletC,Nagłowek 3,Numerowanie,L1,Akapit z listą BS,Kolorowa lista — akcent 11,Dot pt,F5 List Paragraph,Recommendation,List Paragraph11,lp1,maz_wyliczenie,opis dzialania,K-P_odwolanie,Normal"/>
    <w:basedOn w:val="Normalny"/>
    <w:link w:val="AkapitzlistZnak"/>
    <w:uiPriority w:val="34"/>
    <w:qFormat w:val="1"/>
    <w:rsid w:val="00C21529"/>
    <w:pPr>
      <w:spacing w:before="161"/>
      <w:ind w:left="295" w:hanging="140"/>
    </w:pPr>
  </w:style>
  <w:style w:type="paragraph" w:styleId="TableParagraph" w:customStyle="1">
    <w:name w:val="Table Paragraph"/>
    <w:basedOn w:val="Normalny"/>
    <w:uiPriority w:val="1"/>
    <w:qFormat w:val="1"/>
    <w:rsid w:val="00C21529"/>
    <w:pPr>
      <w:spacing w:line="268" w:lineRule="exact"/>
      <w:ind w:left="107"/>
    </w:pPr>
  </w:style>
  <w:style w:type="character" w:styleId="Odwoaniedokomentarza">
    <w:name w:val="annotation reference"/>
    <w:basedOn w:val="Domylnaczcionkaakapitu"/>
    <w:uiPriority w:val="99"/>
    <w:semiHidden w:val="1"/>
    <w:unhideWhenUsed w:val="1"/>
    <w:rsid w:val="00C21529"/>
    <w:rPr>
      <w:sz w:val="16"/>
      <w:szCs w:val="16"/>
    </w:rPr>
  </w:style>
  <w:style w:type="table" w:styleId="TableNormal" w:customStyle="1">
    <w:name w:val="Table Normal"/>
    <w:uiPriority w:val="2"/>
    <w:semiHidden w:val="1"/>
    <w:qFormat w:val="1"/>
    <w:rsid w:val="00C21529"/>
    <w:pPr>
      <w:widowControl w:val="0"/>
      <w:autoSpaceDE w:val="0"/>
      <w:autoSpaceDN w:val="0"/>
      <w:spacing w:after="0" w:line="240" w:lineRule="auto"/>
    </w:pPr>
    <w:rPr>
      <w:lang w:val="en-US"/>
    </w:rPr>
    <w:tblPr>
      <w:tblCellMar>
        <w:top w:w="0.0" w:type="dxa"/>
        <w:left w:w="0.0" w:type="dxa"/>
        <w:bottom w:w="0.0" w:type="dxa"/>
        <w:right w:w="0.0" w:type="dxa"/>
      </w:tblCellMar>
    </w:tblPr>
  </w:style>
  <w:style w:type="paragraph" w:styleId="Tekstdymka">
    <w:name w:val="Balloon Text"/>
    <w:basedOn w:val="Normalny"/>
    <w:link w:val="TekstdymkaZnak"/>
    <w:uiPriority w:val="99"/>
    <w:semiHidden w:val="1"/>
    <w:unhideWhenUsed w:val="1"/>
    <w:rsid w:val="00C21529"/>
    <w:rPr>
      <w:rFonts w:ascii="Segoe UI" w:cs="Segoe UI" w:hAnsi="Segoe UI"/>
      <w:sz w:val="18"/>
      <w:szCs w:val="18"/>
    </w:rPr>
  </w:style>
  <w:style w:type="character" w:styleId="TekstdymkaZnak" w:customStyle="1">
    <w:name w:val="Tekst dymka Znak"/>
    <w:basedOn w:val="Domylnaczcionkaakapitu"/>
    <w:link w:val="Tekstdymka"/>
    <w:uiPriority w:val="99"/>
    <w:semiHidden w:val="1"/>
    <w:rsid w:val="00C21529"/>
    <w:rPr>
      <w:rFonts w:ascii="Segoe UI" w:cs="Segoe UI" w:eastAsia="Times New Roman" w:hAnsi="Segoe UI"/>
      <w:sz w:val="18"/>
      <w:szCs w:val="18"/>
    </w:rPr>
  </w:style>
  <w:style w:type="paragraph" w:styleId="Nagwek">
    <w:name w:val="header"/>
    <w:basedOn w:val="Normalny"/>
    <w:link w:val="NagwekZnak"/>
    <w:uiPriority w:val="99"/>
    <w:unhideWhenUsed w:val="1"/>
    <w:rsid w:val="00271775"/>
    <w:pPr>
      <w:tabs>
        <w:tab w:val="center" w:pos="4536"/>
        <w:tab w:val="right" w:pos="9072"/>
      </w:tabs>
    </w:pPr>
  </w:style>
  <w:style w:type="character" w:styleId="NagwekZnak" w:customStyle="1">
    <w:name w:val="Nagłówek Znak"/>
    <w:basedOn w:val="Domylnaczcionkaakapitu"/>
    <w:link w:val="Nagwek"/>
    <w:uiPriority w:val="99"/>
    <w:rsid w:val="00271775"/>
    <w:rPr>
      <w:rFonts w:ascii="Times New Roman" w:cs="Times New Roman" w:eastAsia="Times New Roman" w:hAnsi="Times New Roman"/>
    </w:rPr>
  </w:style>
  <w:style w:type="paragraph" w:styleId="Stopka">
    <w:name w:val="footer"/>
    <w:basedOn w:val="Normalny"/>
    <w:link w:val="StopkaZnak"/>
    <w:uiPriority w:val="99"/>
    <w:unhideWhenUsed w:val="1"/>
    <w:rsid w:val="00271775"/>
    <w:pPr>
      <w:tabs>
        <w:tab w:val="center" w:pos="4536"/>
        <w:tab w:val="right" w:pos="9072"/>
      </w:tabs>
    </w:pPr>
  </w:style>
  <w:style w:type="character" w:styleId="StopkaZnak" w:customStyle="1">
    <w:name w:val="Stopka Znak"/>
    <w:basedOn w:val="Domylnaczcionkaakapitu"/>
    <w:link w:val="Stopka"/>
    <w:uiPriority w:val="99"/>
    <w:rsid w:val="00271775"/>
    <w:rPr>
      <w:rFonts w:ascii="Times New Roman" w:cs="Times New Roman" w:eastAsia="Times New Roman" w:hAnsi="Times New Roman"/>
    </w:rPr>
  </w:style>
  <w:style w:type="paragraph" w:styleId="Tematkomentarza">
    <w:name w:val="annotation subject"/>
    <w:basedOn w:val="Tekstkomentarza"/>
    <w:next w:val="Tekstkomentarza"/>
    <w:link w:val="TematkomentarzaZnak"/>
    <w:uiPriority w:val="99"/>
    <w:semiHidden w:val="1"/>
    <w:unhideWhenUsed w:val="1"/>
    <w:rsid w:val="00A9574C"/>
    <w:rPr>
      <w:b w:val="1"/>
      <w:bCs w:val="1"/>
    </w:rPr>
  </w:style>
  <w:style w:type="character" w:styleId="TematkomentarzaZnak" w:customStyle="1">
    <w:name w:val="Temat komentarza Znak"/>
    <w:basedOn w:val="TekstkomentarzaZnak"/>
    <w:link w:val="Tematkomentarza"/>
    <w:uiPriority w:val="99"/>
    <w:semiHidden w:val="1"/>
    <w:rsid w:val="00A9574C"/>
    <w:rPr>
      <w:rFonts w:ascii="Times New Roman" w:cs="Times New Roman" w:eastAsia="Times New Roman" w:hAnsi="Times New Roman"/>
      <w:b w:val="1"/>
      <w:bCs w:val="1"/>
      <w:sz w:val="20"/>
      <w:szCs w:val="20"/>
    </w:rPr>
  </w:style>
  <w:style w:type="character" w:styleId="Hipercze">
    <w:name w:val="Hyperlink"/>
    <w:basedOn w:val="Domylnaczcionkaakapitu"/>
    <w:uiPriority w:val="99"/>
    <w:unhideWhenUsed w:val="1"/>
    <w:rsid w:val="0037542C"/>
    <w:rPr>
      <w:color w:val="0563c1" w:themeColor="hyperlink"/>
      <w:u w:val="single"/>
    </w:rPr>
  </w:style>
  <w:style w:type="character" w:styleId="AkapitzlistZnak" w:customStyle="1">
    <w:name w:val="Akapit z listą Znak"/>
    <w:aliases w:val="Preambuła Znak,Data wydania Znak,List Paragraph Znak,CW_Lista Znak,BulletC Znak,Nagłowek 3 Znak,Numerowanie Znak,L1 Znak,Akapit z listą BS Znak,Kolorowa lista — akcent 11 Znak,Dot pt Znak,F5 List Paragraph Znak,Recommendation Znak"/>
    <w:link w:val="Akapitzlist"/>
    <w:uiPriority w:val="34"/>
    <w:qFormat w:val="1"/>
    <w:locked w:val="1"/>
    <w:rsid w:val="000459C7"/>
    <w:rPr>
      <w:rFonts w:ascii="Times New Roman" w:cs="Times New Roman" w:eastAsia="Times New Roman" w:hAnsi="Times New Roma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zuw4kx/HlZ0MMq7h0Fe0pcW/Rg==">AMUW2mVee6uKv5V4k3iVffsgW5eogfR2n0+pp0EMJ4k6ca9hfX8+5jIGNKz+kKCbjtjl6m4jPzXo3jrGOpVE6kQKjOa/EyqVDYOw8gPUkPEQenjBDJ3H2C1a3lu+DUrXniUiL3B6ZwEw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2022-01-04T21:45:00Z</dcterms:created>
  <dc:creator>MSI</dc:creator>
</cp:coreProperties>
</file>